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760" w:firstLine="0"/>
        <w:contextualSpacing w:val="0"/>
        <w:rPr>
          <w:rFonts w:ascii="Architects Daughter" w:cs="Architects Daughter" w:eastAsia="Architects Daughter" w:hAnsi="Architects Daughter"/>
          <w:sz w:val="48"/>
          <w:szCs w:val="4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48"/>
          <w:szCs w:val="48"/>
          <w:rtl w:val="0"/>
        </w:rPr>
        <w:t xml:space="preserve">Monkey’s PAW - ONE PAGER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Directions: 1. Follow the prompt below. 2. Your One-Pager should be done on a plain white paper 8-1/2 x 11” on one side only, with your name clearly on the front side of the paper.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72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A one pager is a single-page response to your reading. It is a way of making your pattern of your unique understanding. It is a way to be creative and experimental. It is a way to respond imaginatively and honestly. It is a way to be brief and compressed.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72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Handlee" w:cs="Handlee" w:eastAsia="Handlee" w:hAnsi="Handlee"/>
          <w:b w:val="1"/>
          <w:sz w:val="24"/>
          <w:szCs w:val="24"/>
          <w:rtl w:val="0"/>
        </w:rPr>
        <w:t xml:space="preserve">purpose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of a one-pager is to own what you are reading. We learn best when we can create our own patterns.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72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A one-pager connects the verbal and the visual; it connects the ideas in what you read to your thoughts. It connects words and images. The one-pager becomes a metaphor for the reading you have done.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72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When you do a one-pager, </w:t>
      </w:r>
      <w:r w:rsidDel="00000000" w:rsidR="00000000" w:rsidRPr="00000000">
        <w:rPr>
          <w:rFonts w:ascii="Handlee" w:cs="Handlee" w:eastAsia="Handlee" w:hAnsi="Handlee"/>
          <w:b w:val="1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andlee" w:cs="Handlee" w:eastAsia="Handlee" w:hAnsi="Handlee"/>
          <w:b w:val="1"/>
          <w:i w:val="1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of these: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Pull out a quotation or two that stood out to you, and write them on the page (perhaps using a different colored pen).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Use visual images, either drawn or cut from magazines, to create a visual focus.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State an  impression, feeling or thought you had while reading.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Make a personal statement about what you have read.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Ask a question or two and answer it (them).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Create the one-pager so that your audience will understand something about the reading from what you do.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Feel free to use colored pens or pencils.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720" w:right="600" w:hanging="270"/>
        <w:contextualSpacing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5. What not to do: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Don’t merely summarize.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  Don’t be restricted by the lines on the paper. Use unlined paper.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left="1440" w:right="600" w:hanging="360"/>
        <w:contextualSpacing w:val="1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Don’t think a half a page will do—make it rich with quotes and images.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4.8" w:lineRule="auto"/>
        <w:ind w:right="600"/>
        <w:contextualSpacing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4.4" w:lineRule="auto"/>
        <w:ind w:right="340"/>
        <w:contextualSpacing w:val="0"/>
        <w:jc w:val="both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Grading: full credit depends on completeness (and imagination counts, too.)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4.4" w:lineRule="auto"/>
        <w:ind w:right="340"/>
        <w:contextualSpacing w:val="0"/>
        <w:jc w:val="both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Along with the previous stated rules, the following should also be apart of your one pager: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4.4" w:lineRule="auto"/>
        <w:ind w:right="340"/>
        <w:contextualSpacing w:val="0"/>
        <w:jc w:val="both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5.6" w:lineRule="auto"/>
        <w:ind w:right="400" w:firstLine="540"/>
        <w:contextualSpacing w:val="0"/>
        <w:jc w:val="both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1.  Write “The Monkey’s Paw” by W.W. Jacobs on the bottom left corner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8" w:lineRule="auto"/>
        <w:ind w:left="720" w:right="540" w:hanging="180"/>
        <w:contextualSpacing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2.  List three  examples of ironies found in the story and define which type was found.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28" w:lineRule="auto"/>
        <w:ind w:left="720" w:right="540" w:hanging="180"/>
        <w:contextualSpacing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3.  List three examples of foreshadowing found  in the story and explain what’s being foreshadowed.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w:fontKey="{00000000-0000-0000-0000-000000000000}" r:id="rId1" w:subsetted="0"/>
  </w:font>
  <w:font w:name="Handle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Handlee-regular.ttf"/></Relationships>
</file>